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F52D6" w14:textId="5195D8AB" w:rsidR="00D806D9" w:rsidRPr="00CF0B04" w:rsidRDefault="00D806D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F0B04">
        <w:rPr>
          <w:rFonts w:ascii="Times New Roman" w:hAnsi="Times New Roman" w:cs="Times New Roman"/>
          <w:sz w:val="24"/>
          <w:szCs w:val="24"/>
          <w:lang w:val="en-US"/>
        </w:rPr>
        <w:t>Polarization-modulation pump-probe spectroscopy for biological molecules: Linear dichroism and birefringence.</w:t>
      </w:r>
    </w:p>
    <w:p w14:paraId="0EE0AFA7" w14:textId="723EBC9C" w:rsidR="008E06DD" w:rsidRPr="00CF0B04" w:rsidRDefault="00D806D9" w:rsidP="00144395">
      <w:pP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en-US"/>
        </w:rPr>
      </w:pPr>
      <w:r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In this work we </w:t>
      </w:r>
      <w:r w:rsidR="008E06DD" w:rsidRPr="00CF0B04">
        <w:rPr>
          <w:rFonts w:ascii="Times New Roman" w:hAnsi="Times New Roman" w:cs="Times New Roman"/>
          <w:sz w:val="24"/>
          <w:szCs w:val="24"/>
          <w:lang w:val="en-US"/>
        </w:rPr>
        <w:t>present</w:t>
      </w:r>
      <w:r w:rsidR="008E6C3F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new method </w:t>
      </w:r>
      <w:r w:rsidR="008E6C3F" w:rsidRPr="00CF0B04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0426E3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separat</w:t>
      </w:r>
      <w:r w:rsidR="008E6C3F" w:rsidRPr="00CF0B04">
        <w:rPr>
          <w:rFonts w:ascii="Times New Roman" w:hAnsi="Times New Roman" w:cs="Times New Roman"/>
          <w:sz w:val="24"/>
          <w:szCs w:val="24"/>
          <w:lang w:val="en-US"/>
        </w:rPr>
        <w:t>ion of</w:t>
      </w:r>
      <w:r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linear dichroism</w:t>
      </w:r>
      <w:r w:rsidR="008E6C3F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(LD)</w:t>
      </w:r>
      <w:r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and birefringence</w:t>
      </w:r>
      <w:r w:rsidR="008E6C3F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(BR)</w:t>
      </w:r>
      <w:r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in polarization-modulated pump-probe</w:t>
      </w:r>
      <w:r w:rsidR="008E6C3F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experiments</w:t>
      </w:r>
      <w:r w:rsidRPr="00CF0B0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53B9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The BR signal consists of pronounced Stimulated Raman Scattering (SRS) peak of solvent and linear pump-probe signal of studied molecules, while in the LD signal SRS peak is not present.  </w:t>
      </w:r>
      <w:r w:rsidR="008E6C3F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06DD" w:rsidRPr="00CF0B04">
        <w:rPr>
          <w:rFonts w:ascii="Times New Roman" w:hAnsi="Times New Roman" w:cs="Times New Roman"/>
          <w:sz w:val="24"/>
          <w:szCs w:val="24"/>
          <w:lang w:val="en-US"/>
        </w:rPr>
        <w:t>A comparison of the LD and BR signals shows that LD is preferable for studying fast relaxation processes, such as vibrationa</w:t>
      </w:r>
      <w:r w:rsidR="008E6C3F" w:rsidRPr="00CF0B04">
        <w:rPr>
          <w:rFonts w:ascii="Times New Roman" w:hAnsi="Times New Roman" w:cs="Times New Roman"/>
          <w:sz w:val="24"/>
          <w:szCs w:val="24"/>
          <w:lang w:val="en-US"/>
        </w:rPr>
        <w:t>l relaxation</w:t>
      </w:r>
      <w:r w:rsidR="00453B99" w:rsidRPr="00CF0B0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E06DD" w:rsidRPr="00CF0B0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en-US"/>
        </w:rPr>
        <w:t xml:space="preserve"> whereas BR is more suitable for slower </w:t>
      </w:r>
      <w:r w:rsidR="00453B99" w:rsidRPr="00CF0B0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en-US"/>
        </w:rPr>
        <w:t>relaxation processes</w:t>
      </w:r>
      <w:r w:rsidR="008E06DD" w:rsidRPr="00CF0B0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en-US"/>
        </w:rPr>
        <w:t>, such as rotational diffusion.</w:t>
      </w:r>
    </w:p>
    <w:p w14:paraId="38E6F264" w14:textId="01A98ADF" w:rsidR="008E06DD" w:rsidRPr="00CF0B04" w:rsidRDefault="008E6C3F" w:rsidP="0014439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F0B04">
        <w:rPr>
          <w:rFonts w:ascii="Times New Roman" w:hAnsi="Times New Roman" w:cs="Times New Roman"/>
          <w:sz w:val="24"/>
          <w:szCs w:val="24"/>
          <w:lang w:val="en-US"/>
        </w:rPr>
        <w:t>This method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4395" w:rsidRPr="00CF0B04">
        <w:rPr>
          <w:rFonts w:ascii="Times New Roman" w:hAnsi="Times New Roman" w:cs="Times New Roman"/>
          <w:sz w:val="24"/>
          <w:szCs w:val="24"/>
          <w:lang w:val="en-US"/>
        </w:rPr>
        <w:t>is applied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8E06DD" w:rsidRPr="00CF0B04">
        <w:rPr>
          <w:rFonts w:ascii="Times New Roman" w:hAnsi="Times New Roman" w:cs="Times New Roman"/>
          <w:sz w:val="24"/>
          <w:szCs w:val="24"/>
          <w:lang w:val="en-US"/>
        </w:rPr>
        <w:t>investigate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picosecond dynamics of </w:t>
      </w:r>
      <w:r w:rsidR="008E06DD" w:rsidRPr="00CF0B0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CF0B04">
        <w:rPr>
          <w:rFonts w:ascii="Times New Roman" w:hAnsi="Times New Roman" w:cs="Times New Roman"/>
          <w:sz w:val="24"/>
          <w:szCs w:val="24"/>
          <w:lang w:val="en-US"/>
        </w:rPr>
        <w:t>icotinamide adenine dinucleotide (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>NADH</w:t>
      </w:r>
      <w:r w:rsidRPr="00CF0B0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06DD" w:rsidRPr="00CF0B0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en-US"/>
        </w:rPr>
        <w:t>f</w:t>
      </w:r>
      <w:r w:rsidRPr="00CF0B0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en-US"/>
        </w:rPr>
        <w:t>lavin adenine dinucleotide (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>FAD</w:t>
      </w:r>
      <w:r w:rsidRPr="00CF0B0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water and ethanol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solutions. NADH exhibits fast </w:t>
      </w:r>
      <w:r w:rsidR="008E06DD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1ps 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vibrational relaxation in water, while for FAD </w:t>
      </w:r>
      <w:r w:rsidR="00453B99" w:rsidRPr="00CF0B04">
        <w:rPr>
          <w:rFonts w:ascii="Times New Roman" w:hAnsi="Times New Roman" w:cs="Times New Roman"/>
          <w:sz w:val="24"/>
          <w:szCs w:val="24"/>
          <w:lang w:val="en-US"/>
        </w:rPr>
        <w:t>this relaxation takes place within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5ps. With increase of ethanol concentration in solutions</w:t>
      </w:r>
      <w:r w:rsidR="008C481B" w:rsidRPr="00CF0B0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FAD relaxation processes slow down, and </w:t>
      </w:r>
      <w:r w:rsidR="008C481B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44395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relaxation 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>time increases to 35ps. For FAD</w:t>
      </w:r>
      <w:r w:rsidR="00453B99" w:rsidRPr="00CF0B0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481B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>vibration</w:t>
      </w:r>
      <w:r w:rsidR="00453B99" w:rsidRPr="00CF0B04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relaxation </w:t>
      </w:r>
      <w:r w:rsidR="008C481B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coefficients 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were </w:t>
      </w:r>
      <w:r w:rsidR="008C481B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obtained 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>and compared with</w:t>
      </w:r>
      <w:r w:rsidR="00453B9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those </w:t>
      </w:r>
      <w:r w:rsidR="008C481B" w:rsidRPr="00CF0B04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NADH </w:t>
      </w:r>
      <w:r w:rsidR="00144395" w:rsidRPr="00CF0B04">
        <w:rPr>
          <w:rFonts w:ascii="Times New Roman" w:hAnsi="Times New Roman" w:cs="Times New Roman"/>
          <w:sz w:val="24"/>
          <w:szCs w:val="24"/>
          <w:lang w:val="en-US"/>
        </w:rPr>
        <w:t>measured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4395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453B99" w:rsidRPr="00CF0B04">
        <w:rPr>
          <w:rFonts w:ascii="Times New Roman" w:hAnsi="Times New Roman" w:cs="Times New Roman"/>
          <w:sz w:val="24"/>
          <w:szCs w:val="24"/>
          <w:lang w:val="en-US"/>
        </w:rPr>
        <w:t>the study by</w:t>
      </w:r>
      <w:r w:rsidR="00144395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44395" w:rsidRPr="00CF0B04">
        <w:rPr>
          <w:rFonts w:ascii="Times New Roman" w:hAnsi="Times New Roman" w:cs="Times New Roman"/>
          <w:sz w:val="24"/>
          <w:szCs w:val="24"/>
          <w:lang w:val="en-US"/>
        </w:rPr>
        <w:t>Gorbunova</w:t>
      </w:r>
      <w:proofErr w:type="spellEnd"/>
      <w:r w:rsidR="00144395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et al</w:t>
      </w:r>
      <w:r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="00AB659F" w:rsidRPr="00CF0B04">
        <w:rPr>
          <w:rFonts w:ascii="Times New Roman" w:hAnsi="Times New Roman" w:cs="Times New Roman"/>
          <w:sz w:val="24"/>
          <w:szCs w:val="24"/>
          <w:lang w:val="en-US"/>
        </w:rPr>
        <w:t>Gorbunova</w:t>
      </w:r>
      <w:proofErr w:type="spellEnd"/>
      <w:r w:rsidR="00144395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B659F" w:rsidRPr="00CF0B04">
        <w:rPr>
          <w:rFonts w:ascii="Times New Roman" w:hAnsi="Times New Roman" w:cs="Times New Roman"/>
          <w:sz w:val="24"/>
          <w:szCs w:val="24"/>
          <w:lang w:val="en-US"/>
        </w:rPr>
        <w:t>I. A</w:t>
      </w:r>
      <w:r w:rsidR="00144395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B659F" w:rsidRPr="00CF0B04">
        <w:rPr>
          <w:rFonts w:ascii="Times New Roman" w:hAnsi="Times New Roman" w:cs="Times New Roman"/>
          <w:sz w:val="24"/>
          <w:szCs w:val="24"/>
          <w:lang w:val="en-US"/>
        </w:rPr>
        <w:t>PCCP V. 22, 18155 (2020)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]. </w:t>
      </w:r>
      <w:r w:rsidR="008C481B" w:rsidRPr="00CF0B04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coefficients </w:t>
      </w:r>
      <w:r w:rsidR="008C481B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exhibit 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>different t</w:t>
      </w:r>
      <w:r w:rsidR="00453B99" w:rsidRPr="00CF0B04">
        <w:rPr>
          <w:rFonts w:ascii="Times New Roman" w:hAnsi="Times New Roman" w:cs="Times New Roman"/>
          <w:sz w:val="24"/>
          <w:szCs w:val="24"/>
          <w:lang w:val="en-US"/>
        </w:rPr>
        <w:t>rend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C481B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>in case of FAD</w:t>
      </w:r>
      <w:r w:rsidR="00144395" w:rsidRPr="00CF0B0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806D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3B99" w:rsidRPr="00CF0B04">
        <w:rPr>
          <w:rFonts w:ascii="Times New Roman" w:hAnsi="Times New Roman" w:cs="Times New Roman"/>
          <w:sz w:val="24"/>
          <w:szCs w:val="24"/>
          <w:lang w:val="en-US"/>
        </w:rPr>
        <w:t>the post‑relaxation transition dipole</w:t>
      </w:r>
      <w:r w:rsidR="008C481B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moment</w:t>
      </w:r>
      <w:r w:rsidR="00453B99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coefficient consistently exceeds the pre‑relaxation one</w:t>
      </w:r>
      <w:r w:rsidRPr="00CF0B04">
        <w:rPr>
          <w:rFonts w:ascii="Times New Roman" w:hAnsi="Times New Roman" w:cs="Times New Roman"/>
          <w:sz w:val="24"/>
          <w:szCs w:val="24"/>
          <w:lang w:val="en-US"/>
        </w:rPr>
        <w:t>, while for NADH the opposite is true.</w:t>
      </w:r>
      <w:r w:rsidR="00AB659F" w:rsidRPr="00CF0B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BFA77B8" w14:textId="03E33D40" w:rsidR="00CF0B04" w:rsidRPr="00CF0B04" w:rsidRDefault="00144395" w:rsidP="00144395">
      <w:pP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en-US"/>
        </w:rPr>
      </w:pPr>
      <w:r w:rsidRPr="00CF0B0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en-US"/>
        </w:rPr>
        <w:t xml:space="preserve">The results can be used for interpretation </w:t>
      </w:r>
      <w:r w:rsidR="00453B99" w:rsidRPr="00CF0B0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en-US"/>
        </w:rPr>
        <w:t>of</w:t>
      </w:r>
      <w:r w:rsidRPr="00CF0B0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en-US"/>
        </w:rPr>
        <w:t xml:space="preserve"> polarization-resolved signals in pump-probe microscopy and </w:t>
      </w:r>
      <w:r w:rsidR="008E06DD" w:rsidRPr="00CF0B0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en-US"/>
        </w:rPr>
        <w:t>for improving</w:t>
      </w:r>
      <w:r w:rsidRPr="00CF0B0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  <w:lang w:val="en-US"/>
        </w:rPr>
        <w:t xml:space="preserve"> signal-to-noise ratio.</w:t>
      </w:r>
    </w:p>
    <w:p w14:paraId="29E81392" w14:textId="77777777" w:rsidR="00CF0B04" w:rsidRPr="00CF0B04" w:rsidRDefault="00CF0B04" w:rsidP="00CF0B0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0B04">
        <w:rPr>
          <w:rFonts w:ascii="Times New Roman" w:hAnsi="Times New Roman" w:cs="Times New Roman"/>
          <w:sz w:val="24"/>
          <w:szCs w:val="24"/>
          <w:lang w:val="en-US"/>
        </w:rPr>
        <w:t>This research was funded by Russian Science Foundation, grant number 26-75-31002.</w:t>
      </w:r>
    </w:p>
    <w:p w14:paraId="79B30D95" w14:textId="77777777" w:rsidR="00CF0B04" w:rsidRPr="008E06DD" w:rsidRDefault="00CF0B04" w:rsidP="00144395">
      <w:pPr>
        <w:rPr>
          <w:rFonts w:cstheme="minorHAnsi"/>
          <w:sz w:val="24"/>
          <w:szCs w:val="24"/>
          <w:lang w:val="en-US"/>
        </w:rPr>
      </w:pPr>
    </w:p>
    <w:p w14:paraId="0C17E2F6" w14:textId="77777777" w:rsidR="008E6C3F" w:rsidRPr="00D806D9" w:rsidRDefault="008E6C3F">
      <w:pPr>
        <w:rPr>
          <w:lang w:val="en-US"/>
        </w:rPr>
      </w:pPr>
    </w:p>
    <w:sectPr w:rsidR="008E6C3F" w:rsidRPr="00D80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D9"/>
    <w:rsid w:val="000426E3"/>
    <w:rsid w:val="00144395"/>
    <w:rsid w:val="00453B99"/>
    <w:rsid w:val="006914F8"/>
    <w:rsid w:val="008C481B"/>
    <w:rsid w:val="008E06DD"/>
    <w:rsid w:val="008E6C3F"/>
    <w:rsid w:val="00AB659F"/>
    <w:rsid w:val="00B86709"/>
    <w:rsid w:val="00CF0B04"/>
    <w:rsid w:val="00D806D9"/>
    <w:rsid w:val="00EA226A"/>
    <w:rsid w:val="00EE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914C7"/>
  <w15:chartTrackingRefBased/>
  <w15:docId w15:val="{6DD97618-4BCD-497B-8F6E-873DE768D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10088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5</cp:revision>
  <dcterms:created xsi:type="dcterms:W3CDTF">2026-06-24T07:43:00Z</dcterms:created>
  <dcterms:modified xsi:type="dcterms:W3CDTF">2026-09-14T12:12:00Z</dcterms:modified>
</cp:coreProperties>
</file>