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after="0" w:afterAutospacing="0" w:line="360" w:lineRule="auto"/>
        <w:rPr>
          <w:rFonts w:ascii="Times New Roman" w:hAnsi="Times New Roman" w:cs="Times New Roman"/>
          <w:b/>
          <w:bCs/>
          <w:color w:val="000000" w:themeColor="text1"/>
          <w:sz w:val="28"/>
          <w:szCs w:val="28"/>
          <w:highlight w:val="none"/>
        </w:rPr>
        <w:suppressLineNumbers w:val="0"/>
      </w:pPr>
      <w:r>
        <w:rPr>
          <w:rFonts w:ascii="Times New Roman" w:hAnsi="Times New Roman" w:cs="Times New Roman"/>
          <w:b/>
          <w:bCs/>
          <w:color w:val="000000" w:themeColor="text1"/>
          <w:sz w:val="28"/>
          <w:szCs w:val="28"/>
          <w:highlight w:val="none"/>
          <w:lang w:val="en-US"/>
        </w:rPr>
      </w:r>
      <w:r>
        <w:rPr>
          <w:rFonts w:ascii="Times New Roman" w:hAnsi="Times New Roman" w:cs="Times New Roman"/>
          <w:b/>
          <w:bCs/>
          <w:color w:val="000000" w:themeColor="text1"/>
          <w:sz w:val="28"/>
          <w:szCs w:val="28"/>
          <w:highlight w:val="none"/>
          <w:lang w:val="en-US"/>
        </w:rPr>
        <w:t xml:space="preserve">Effect of silver nanoparticles on optical extinction spectra of colloidal solutions and flexible substrates</w:t>
      </w:r>
      <w:r>
        <w:rPr>
          <w:rFonts w:ascii="Times New Roman" w:hAnsi="Times New Roman" w:cs="Times New Roman"/>
          <w:b/>
          <w:bCs/>
          <w:color w:val="000000" w:themeColor="text1"/>
          <w:sz w:val="28"/>
          <w:szCs w:val="28"/>
          <w:highlight w:val="none"/>
          <w:lang w:val="en-US"/>
        </w:rPr>
      </w:r>
      <w:r>
        <w:rPr>
          <w:rFonts w:ascii="Times New Roman" w:hAnsi="Times New Roman" w:cs="Times New Roman"/>
          <w:b/>
          <w:bCs/>
          <w:color w:val="000000" w:themeColor="text1"/>
          <w:sz w:val="28"/>
          <w:szCs w:val="28"/>
          <w:highlight w:val="none"/>
          <w:lang w:val="en-US"/>
        </w:rPr>
      </w:r>
    </w:p>
    <w:p>
      <w:pPr>
        <w:ind w:firstLine="0"/>
        <w:jc w:val="center"/>
        <w:spacing w:after="0" w:afterAutospacing="0" w:line="360" w:lineRule="auto"/>
        <w:suppressLineNumbers w:val="0"/>
      </w:pPr>
      <w:r>
        <w:rPr>
          <w:rFonts w:ascii="Times New Roman" w:hAnsi="Times New Roman" w:cs="Times New Roman"/>
          <w:color w:val="000000" w:themeColor="text1"/>
          <w:sz w:val="28"/>
          <w:szCs w:val="28"/>
          <w:highlight w:val="none"/>
          <w:lang w:val="en-US"/>
        </w:rPr>
      </w:r>
      <w:r>
        <w:rPr>
          <w:rFonts w:ascii="Times New Roman" w:hAnsi="Times New Roman" w:cs="Times New Roman"/>
          <w:i/>
          <w:iCs/>
          <w:color w:val="000000" w:themeColor="text1"/>
          <w:sz w:val="28"/>
          <w:szCs w:val="28"/>
          <w:highlight w:val="none"/>
          <w:lang w:val="en-US"/>
        </w:rPr>
        <w:t xml:space="preserve">Evgeniy A. Ryabov, Daniil N. Bratashov, Ekaterina S. Prikhozhdenko</w:t>
      </w:r>
      <w:r>
        <w:rPr>
          <w:rFonts w:ascii="Times New Roman" w:hAnsi="Times New Roman" w:cs="Times New Roman"/>
          <w:color w:val="000000" w:themeColor="text1"/>
          <w:sz w:val="28"/>
          <w:szCs w:val="28"/>
          <w:highlight w:val="none"/>
          <w:lang w:val="en-US"/>
        </w:rPr>
        <w:t xml:space="preserve"> </w:t>
      </w:r>
      <w:r>
        <w:rPr>
          <w:rFonts w:ascii="Times New Roman" w:hAnsi="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lang w:val="en-US"/>
        </w:rPr>
      </w:r>
    </w:p>
    <w:p>
      <w:pPr>
        <w:ind w:firstLine="0"/>
        <w:jc w:val="center"/>
        <w:spacing w:after="0" w:afterAutospacing="0" w:line="360" w:lineRule="auto"/>
        <w:rPr>
          <w:rFonts w:ascii="Times New Roman" w:hAnsi="Times New Roman" w:cs="Times New Roman"/>
          <w:color w:val="000000" w:themeColor="text1"/>
          <w:sz w:val="28"/>
          <w:szCs w:val="28"/>
          <w:highlight w:val="none"/>
          <w:lang w:val="en-US"/>
        </w:rPr>
        <w:suppressLineNumbers w:val="0"/>
      </w:pPr>
      <w:r>
        <w:rPr>
          <w:rFonts w:ascii="Times New Roman" w:hAnsi="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lang w:val="en-US"/>
        </w:rPr>
        <w:t xml:space="preserve">Saratov State University, Saratov</w:t>
      </w:r>
      <w:r>
        <w:rPr>
          <w:rFonts w:ascii="Times New Roman" w:hAnsi="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lang w:val="en-US"/>
        </w:rPr>
      </w:r>
    </w:p>
    <w:p>
      <w:pPr>
        <w:ind w:firstLine="0"/>
        <w:jc w:val="center"/>
        <w:spacing w:after="0" w:afterAutospacing="0" w:line="360" w:lineRule="auto"/>
        <w:rPr>
          <w:rFonts w:ascii="Times New Roman" w:hAnsi="Times New Roman" w:cs="Times New Roman"/>
          <w:color w:val="000000" w:themeColor="text1"/>
          <w:sz w:val="28"/>
          <w:szCs w:val="28"/>
          <w:highlight w:val="none"/>
          <w:lang w:val="en-US"/>
        </w:rPr>
        <w:suppressLineNumbers w:val="0"/>
      </w:pPr>
      <w:r>
        <w:rPr>
          <w:rFonts w:ascii="Times New Roman" w:hAnsi="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lang w:val="en-US"/>
        </w:rPr>
      </w:r>
    </w:p>
    <w:p>
      <w:pPr>
        <w:ind w:firstLine="709"/>
        <w:jc w:val="both"/>
        <w:spacing w:after="0" w:afterAutospacing="0" w:line="360" w:lineRule="auto"/>
        <w:rPr>
          <w:rFonts w:ascii="Times New Roman" w:hAnsi="Times New Roman" w:cs="Times New Roman"/>
          <w:color w:val="000000" w:themeColor="text1"/>
          <w:sz w:val="28"/>
          <w:szCs w:val="28"/>
          <w:highlight w:val="none"/>
          <w:lang w:val="en-US"/>
        </w:rPr>
      </w:pPr>
      <w:r>
        <w:rPr>
          <w:rFonts w:ascii="Times New Roman" w:hAnsi="Times New Roman" w:cs="Times New Roman"/>
          <w:color w:val="000000" w:themeColor="text1"/>
          <w:sz w:val="28"/>
          <w:szCs w:val="28"/>
          <w:highlight w:val="none"/>
          <w:lang w:val="en-US"/>
        </w:rPr>
      </w:r>
      <w:r>
        <w:rPr>
          <w:rFonts w:ascii="Times New Roman" w:hAnsi="Times New Roman" w:cs="Times New Roman"/>
          <w:b/>
          <w:bCs/>
          <w:color w:val="000000" w:themeColor="text1"/>
          <w:sz w:val="28"/>
          <w:szCs w:val="28"/>
          <w:lang w:val="en-US"/>
        </w:rPr>
        <w:t xml:space="preserve">Abstract</w:t>
      </w:r>
      <w:r/>
      <w:r>
        <w:rPr>
          <w:rFonts w:ascii="Times New Roman" w:hAnsi="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lang w:val="en-US"/>
        </w:rPr>
      </w:r>
    </w:p>
    <w:p>
      <w:pPr>
        <w:ind w:firstLine="709"/>
        <w:jc w:val="both"/>
        <w:spacing w:after="0" w:afterAutospacing="0" w:line="360" w:lineRule="auto"/>
        <w:rPr>
          <w:rFonts w:ascii="Times New Roman" w:hAnsi="Times New Roman" w:cs="Times New Roman"/>
          <w:color w:val="000000" w:themeColor="text1"/>
          <w:sz w:val="28"/>
          <w:szCs w:val="28"/>
          <w:highlight w:val="none"/>
          <w:lang w:val="en-US"/>
        </w:rPr>
      </w:pPr>
      <w:r>
        <w:rPr>
          <w:rFonts w:ascii="Times New Roman" w:hAnsi="Times New Roman" w:cs="Times New Roman"/>
          <w:color w:val="000000" w:themeColor="text1"/>
          <w:sz w:val="28"/>
          <w:szCs w:val="28"/>
          <w:lang w:val="en-US"/>
        </w:rPr>
        <w:t xml:space="preserve">Plasmon resonance nanoparticles (NPs) are currently used in such diverse fields as drug delivery, </w:t>
      </w:r>
      <w:r>
        <w:rPr>
          <w:rFonts w:ascii="Times New Roman" w:hAnsi="Times New Roman" w:cs="Times New Roman"/>
          <w:color w:val="000000" w:themeColor="text1"/>
          <w:sz w:val="28"/>
          <w:szCs w:val="28"/>
          <w:lang w:val="en-US"/>
        </w:rPr>
        <w:t xml:space="preserve">development</w:t>
      </w:r>
      <w:r>
        <w:rPr>
          <w:rFonts w:ascii="Times New Roman" w:hAnsi="Times New Roman" w:cs="Times New Roman"/>
          <w:color w:val="000000" w:themeColor="text1"/>
          <w:sz w:val="28"/>
          <w:szCs w:val="28"/>
          <w:lang w:val="en-US"/>
        </w:rPr>
        <w:t xml:space="preserve"> of antibacterial coatings, and sensors based on the </w:t>
      </w:r>
      <w:r>
        <w:rPr>
          <w:rFonts w:ascii="Times New Roman" w:hAnsi="Times New Roman" w:cs="Times New Roman"/>
          <w:color w:val="000000" w:themeColor="text1"/>
          <w:sz w:val="28"/>
          <w:szCs w:val="28"/>
          <w:lang w:val="en-US"/>
        </w:rPr>
        <w:t xml:space="preserve">s</w:t>
      </w:r>
      <w:r>
        <w:rPr>
          <w:rFonts w:ascii="Times New Roman" w:hAnsi="Times New Roman" w:cs="Times New Roman"/>
          <w:color w:val="000000" w:themeColor="text1"/>
          <w:sz w:val="28"/>
          <w:szCs w:val="28"/>
          <w:lang w:val="en-US"/>
        </w:rPr>
        <w:t xml:space="preserve">urface-enhanced Raman spectroscopy (SERS).</w:t>
      </w:r>
      <w:r>
        <w:rPr>
          <w:lang w:val="en-US"/>
        </w:rPr>
      </w:r>
      <w:r>
        <w:rPr>
          <w:lang w:val="en-US"/>
        </w:rPr>
      </w:r>
    </w:p>
    <w:p>
      <w:pPr>
        <w:ind w:firstLine="709"/>
        <w:jc w:val="both"/>
        <w:spacing w:after="0" w:afterAutospacing="0" w:line="360" w:lineRule="auto"/>
        <w:rPr>
          <w:lang w:val="en-US"/>
        </w:rPr>
      </w:pPr>
      <w:r>
        <w:rPr>
          <w:rFonts w:ascii="Times New Roman" w:hAnsi="Times New Roman" w:cs="Times New Roman"/>
          <w:color w:val="000000" w:themeColor="text1"/>
          <w:sz w:val="28"/>
          <w:szCs w:val="28"/>
          <w:lang w:val="en-US"/>
        </w:rPr>
        <w:t xml:space="preserve">The influence of metallic NPs on the optical properties of the medium is determined by the presence of plasmonic oscillations of electron density. These oscillations distort the local electromagnetic field near the surface of the </w:t>
      </w:r>
      <w:r>
        <w:rPr>
          <w:rFonts w:ascii="Times New Roman" w:hAnsi="Times New Roman" w:cs="Times New Roman"/>
          <w:color w:val="000000" w:themeColor="text1"/>
          <w:sz w:val="28"/>
          <w:szCs w:val="28"/>
          <w:lang w:val="en-US"/>
        </w:rPr>
        <w:t xml:space="preserve">samples</w:t>
      </w:r>
      <w:r>
        <w:rPr>
          <w:rFonts w:ascii="Times New Roman" w:hAnsi="Times New Roman" w:cs="Times New Roman"/>
          <w:color w:val="000000" w:themeColor="text1"/>
          <w:sz w:val="28"/>
          <w:szCs w:val="28"/>
          <w:lang w:val="en-US"/>
        </w:rPr>
        <w:t xml:space="preserve">. For a number of applications, it is of interest to obtain flexible SERS substrates using nonwoven materials as a matrix. The functionalization of fibers with</w:t>
      </w:r>
      <w:r>
        <w:rPr>
          <w:rFonts w:ascii="Times New Roman" w:hAnsi="Times New Roman" w:cs="Times New Roman"/>
          <w:color w:val="000000" w:themeColor="text1"/>
          <w:sz w:val="28"/>
          <w:szCs w:val="28"/>
          <w:lang w:val="en-US"/>
        </w:rPr>
        <w:t xml:space="preserve"> silver nanoparticles provides an efficient approach for selective adsorption of biomolecules and their accurate detection by SERS. In this work, the systems of colloidal solutions with NPs and polymer films with NPs located on the surface are considered. </w:t>
      </w:r>
      <w:r>
        <w:rPr>
          <w:lang w:val="en-US"/>
        </w:rPr>
      </w:r>
      <w:r>
        <w:rPr>
          <w:lang w:val="en-US"/>
        </w:rPr>
      </w:r>
    </w:p>
    <w:p>
      <w:pPr>
        <w:ind w:firstLine="709"/>
        <w:jc w:val="both"/>
        <w:spacing w:after="0" w:afterAutospacing="0" w:line="360" w:lineRule="auto"/>
        <w:rPr>
          <w:lang w:val="en-US"/>
        </w:rPr>
      </w:pPr>
      <w:r>
        <w:rPr>
          <w:rFonts w:ascii="Times New Roman" w:hAnsi="Times New Roman" w:cs="Times New Roman"/>
          <w:color w:val="000000" w:themeColor="text1"/>
          <w:sz w:val="28"/>
          <w:szCs w:val="28"/>
          <w:lang w:val="en-US"/>
        </w:rPr>
        <w:t xml:space="preserve">Using the </w:t>
      </w:r>
      <w:r>
        <w:rPr>
          <w:rFonts w:ascii="Times New Roman" w:hAnsi="Times New Roman" w:cs="Times New Roman"/>
          <w:color w:val="000000" w:themeColor="text1"/>
          <w:sz w:val="28"/>
          <w:szCs w:val="28"/>
          <w:lang w:val="en-US"/>
        </w:rPr>
        <w:t xml:space="preserve">PyGDM</w:t>
      </w:r>
      <w:r>
        <w:rPr>
          <w:rFonts w:ascii="Times New Roman" w:hAnsi="Times New Roman" w:cs="Times New Roman"/>
          <w:color w:val="000000" w:themeColor="text1"/>
          <w:sz w:val="28"/>
          <w:szCs w:val="28"/>
          <w:lang w:val="en-US"/>
        </w:rPr>
        <w:t xml:space="preserve"> mathematical package, the extinction spectra of silver nanoparticles at diameters of 10÷30 nm located in a medium </w:t>
      </w:r>
      <w:r>
        <w:rPr>
          <w:rFonts w:ascii="Times New Roman" w:hAnsi="Times New Roman" w:cs="Times New Roman"/>
          <w:color w:val="000000" w:themeColor="text1"/>
          <w:sz w:val="28"/>
          <w:szCs w:val="28"/>
          <w:lang w:val="en-US"/>
        </w:rPr>
        <w:t xml:space="preserve">or on a substrate </w:t>
      </w:r>
      <w:r>
        <w:rPr>
          <w:rFonts w:ascii="Times New Roman" w:hAnsi="Times New Roman" w:cs="Times New Roman"/>
          <w:color w:val="000000" w:themeColor="text1"/>
          <w:sz w:val="28"/>
          <w:szCs w:val="28"/>
          <w:lang w:val="en-US"/>
        </w:rPr>
        <w:t xml:space="preserve">with different refractive index</w:t>
      </w:r>
      <w:r>
        <w:rPr>
          <w:rFonts w:ascii="Times New Roman" w:hAnsi="Times New Roman" w:cs="Times New Roman"/>
          <w:color w:val="000000" w:themeColor="text1"/>
          <w:sz w:val="28"/>
          <w:szCs w:val="28"/>
          <w:lang w:val="en-US"/>
        </w:rPr>
        <w:t xml:space="preserve">es</w:t>
      </w:r>
      <w:r>
        <w:rPr>
          <w:rFonts w:ascii="Times New Roman" w:hAnsi="Times New Roman" w:cs="Times New Roman"/>
          <w:color w:val="000000" w:themeColor="text1"/>
          <w:sz w:val="28"/>
          <w:szCs w:val="28"/>
          <w:lang w:val="en-US"/>
        </w:rPr>
        <w:t xml:space="preserve"> were calculated. When the refractive index of the </w:t>
      </w:r>
      <w:r>
        <w:rPr>
          <w:rFonts w:ascii="Times New Roman" w:hAnsi="Times New Roman" w:cs="Times New Roman"/>
          <w:color w:val="000000" w:themeColor="text1"/>
          <w:sz w:val="28"/>
          <w:szCs w:val="28"/>
          <w:lang w:val="en-US"/>
        </w:rPr>
        <w:t xml:space="preserve">either </w:t>
      </w:r>
      <w:r>
        <w:rPr>
          <w:rFonts w:ascii="Times New Roman" w:hAnsi="Times New Roman" w:cs="Times New Roman"/>
          <w:color w:val="000000" w:themeColor="text1"/>
          <w:sz w:val="28"/>
          <w:szCs w:val="28"/>
          <w:lang w:val="en-US"/>
        </w:rPr>
        <w:t xml:space="preserve">medium</w:t>
      </w:r>
      <w:r>
        <w:rPr>
          <w:rFonts w:ascii="Times New Roman" w:hAnsi="Times New Roman" w:cs="Times New Roman"/>
          <w:color w:val="000000" w:themeColor="text1"/>
          <w:sz w:val="28"/>
          <w:szCs w:val="28"/>
          <w:lang w:val="en-US"/>
        </w:rPr>
        <w:t xml:space="preserve"> or substrate </w:t>
      </w:r>
      <w:r>
        <w:rPr>
          <w:rFonts w:ascii="Times New Roman" w:hAnsi="Times New Roman" w:cs="Times New Roman"/>
          <w:color w:val="000000" w:themeColor="text1"/>
          <w:sz w:val="28"/>
          <w:szCs w:val="28"/>
          <w:lang w:val="en-US"/>
        </w:rPr>
        <w:t xml:space="preserve">increases, the peak of the extinction spectrum, which corresponds to the plasma resonance, shifts to the region of longer wavelengths. The influence of the refractive index of the medium on the position and profile of the plasmon resonance is also </w:t>
      </w:r>
      <w:r>
        <w:rPr>
          <w:rFonts w:ascii="Times New Roman" w:hAnsi="Times New Roman" w:cs="Times New Roman"/>
          <w:color w:val="000000" w:themeColor="text1"/>
          <w:sz w:val="28"/>
          <w:szCs w:val="28"/>
          <w:lang w:val="en-US"/>
        </w:rPr>
        <w:t xml:space="preserve">demonstrated</w:t>
      </w:r>
      <w:r>
        <w:rPr>
          <w:rFonts w:ascii="Times New Roman" w:hAnsi="Times New Roman" w:cs="Times New Roman"/>
          <w:color w:val="000000" w:themeColor="text1"/>
          <w:sz w:val="28"/>
          <w:szCs w:val="28"/>
          <w:lang w:val="en-US"/>
        </w:rPr>
        <w:t xml:space="preserve">.</w:t>
      </w:r>
      <w:r>
        <w:rPr>
          <w:lang w:val="en-US"/>
        </w:rPr>
      </w:r>
      <w:r>
        <w:rPr>
          <w:lang w:val="en-US"/>
        </w:rPr>
      </w:r>
    </w:p>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2023-08-23T19:36:42Z</dcterms:modified>
</cp:coreProperties>
</file>